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F5" w:rsidRDefault="007746A3" w:rsidP="003A70F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t xml:space="preserve"> </w:t>
      </w:r>
      <w:r w:rsidR="003A70F5">
        <w:rPr>
          <w:rFonts w:ascii="Times New Roman" w:eastAsia="Times New Roman" w:hAnsi="Times New Roman"/>
          <w:b/>
          <w:sz w:val="20"/>
          <w:szCs w:val="20"/>
          <w:lang w:eastAsia="ru-RU"/>
        </w:rPr>
        <w:t>РЕКОМЕНДУЕМЫЕ МОЮЩИЕ СРЕДСТВА ДЛЯ ДЕЗАКТИВАЦИИ ОБОРУДОВАНИЯ, ПОМЕЩЕНИЙ, КОНТЕЙНЕРОВ И СПЕЦИАЛЬНЫХ АВТОМОБИЛЕЙ</w:t>
      </w:r>
    </w:p>
    <w:p w:rsidR="003A70F5" w:rsidRDefault="003A70F5" w:rsidP="003A70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0F5" w:rsidRDefault="003A70F5" w:rsidP="003A70F5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качестве моющих растворов для дезактивации оборудования, помещений, контейнеров и специальных автомобилей могут использоваться следующие составы:</w:t>
      </w:r>
    </w:p>
    <w:p w:rsidR="003A70F5" w:rsidRDefault="003A70F5" w:rsidP="003A70F5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0F5" w:rsidRDefault="003A70F5" w:rsidP="003A70F5">
      <w:pPr>
        <w:spacing w:after="0" w:line="240" w:lineRule="auto"/>
        <w:ind w:firstLine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Состав № 1: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Стиральный порошок-3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Щелочь-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Вода-до 1 л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Состав № 2: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ДС-РАС-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 мл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Вода-до 1 л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Состав № 3: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ДС-РАС-10 мл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Щавелевая кислота-5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Поваренная соль-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50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Вода-до 1 л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Состав № 4: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ДС-РАС или ОП-7-5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Щавелевая кислота-5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Гексаметафосфат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натрия-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7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Вода-до 1 л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Примечание. ДС-РАС (паста РАС) - раствор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рафинированного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алкиларилсульфоната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Загрязненные поверхности, не поддающиеся отмывке указанными составами, подвергаются дополнительной обработке моющим составом № 5.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Состав № 5: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Марганцевокислый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калий-40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Серная кислота-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Вода-до 1 л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После дезактивации поверхности составом № 5 (в течение 10 - 15 минут) проводится обработка составом № 3.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Если загрязненный материал не стоек к кислотам 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корродирует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растворяется), то рекомендуется обрабатывать его щелочными растворами состава № 6.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Состав № 6: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Едкий натр-10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Трилон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Б-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Вода-до 1 л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Ценное оборудование, приборы следует дезактивировать раствором лимонной или щавелевой кислоты состава № 7.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Состав № 7: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Лимонная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щавелевая кислота-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10 - 20 г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Вода-до 1 л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 также используют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тринатрийфосфат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гексаметафосфат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натрия</w:t>
      </w: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70F5" w:rsidRDefault="003A70F5" w:rsidP="003A70F5">
      <w:pPr>
        <w:tabs>
          <w:tab w:val="left" w:pos="2977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Состав № 8:</w:t>
      </w:r>
    </w:p>
    <w:p w:rsidR="003A70F5" w:rsidRDefault="003A70F5" w:rsidP="003A70F5">
      <w:pPr>
        <w:tabs>
          <w:tab w:val="left" w:pos="2977"/>
          <w:tab w:val="left" w:pos="5040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Тринатрийфосфат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гексаметафосфат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натрия-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10 - 20 г</w:t>
      </w:r>
    </w:p>
    <w:p w:rsidR="003A70F5" w:rsidRDefault="003A70F5" w:rsidP="003A70F5">
      <w:pPr>
        <w:tabs>
          <w:tab w:val="left" w:pos="2977"/>
        </w:tabs>
        <w:rPr>
          <w:rFonts w:ascii="Calibri" w:eastAsia="Calibri" w:hAnsi="Calibri"/>
          <w:b/>
          <w:sz w:val="28"/>
          <w:szCs w:val="28"/>
        </w:rPr>
      </w:pPr>
    </w:p>
    <w:p w:rsidR="00D30566" w:rsidRDefault="00D30566" w:rsidP="00D30566"/>
    <w:p w:rsidR="00D30566" w:rsidRDefault="007746A3" w:rsidP="00D30566">
      <w:r>
        <w:t xml:space="preserve"> </w:t>
      </w:r>
      <w:r w:rsidR="00D30566">
        <w:t>БЕЗОПАСНОСТЬ ПРИ РАБОТЕ С ЦИТОСТАТИКАМИ.</w:t>
      </w:r>
    </w:p>
    <w:p w:rsidR="00D30566" w:rsidRDefault="00D30566" w:rsidP="00D30566">
      <w:r>
        <w:t xml:space="preserve"> ОСОБЕННОСТИ И ПРЕИМУЩЕСТВА ЦЕНТРАЛИЗОВАННОГО ПРИГОТОВЛЕНИЯ В УСЛОВИЯХ СТАЦИОНАРА</w:t>
      </w:r>
    </w:p>
    <w:p w:rsidR="004A6C64" w:rsidRDefault="00D30566" w:rsidP="00D30566">
      <w:r>
        <w:lastRenderedPageBreak/>
        <w:t xml:space="preserve">С введением в онкологическую практику </w:t>
      </w:r>
      <w:proofErr w:type="spellStart"/>
      <w:r>
        <w:t>полихимиотерапии</w:t>
      </w:r>
      <w:proofErr w:type="spellEnd"/>
      <w:r>
        <w:t xml:space="preserve">, в частности препаратов цитостатического действия, значительно возросли шансы на восстановление нормальной жизнедеятельности у этой категории больных. Однако следует отметить, что одновременно во многих стационарах остро встал вопрос о приготовлении </w:t>
      </w:r>
      <w:proofErr w:type="spellStart"/>
      <w:r>
        <w:t>цитостатиков</w:t>
      </w:r>
      <w:proofErr w:type="spellEnd"/>
      <w:r>
        <w:t xml:space="preserve"> в условиях, обеспечивающих соответствующий уровень безопасности для медицинских работников, непосредственно контактирующих с ними. Это связано с тем, что противоопухолевые препараты, в большинстве своем являющиеся токсическими веществами, не действуют на клетки избирательно, а потому не только угнетают деление </w:t>
      </w:r>
      <w:proofErr w:type="spellStart"/>
      <w:r>
        <w:t>бластных</w:t>
      </w:r>
      <w:proofErr w:type="spellEnd"/>
      <w:r>
        <w:t xml:space="preserve"> клеток, что положено в основу их лечебного эффекта при онкологических заболеваниях, но могут влиять и на здоровые клетки, особенно те, для которых характерно интенсивное размножение. Это клетки кроветворных органов, половые клетки, клетки слизистой оболочки </w:t>
      </w:r>
      <w:proofErr w:type="spellStart"/>
      <w:r>
        <w:t>желудочно</w:t>
      </w:r>
      <w:proofErr w:type="spellEnd"/>
      <w:r>
        <w:t>–кишечного тракта и др.</w:t>
      </w:r>
      <w:r w:rsidR="007746A3">
        <w:t xml:space="preserve"> </w:t>
      </w:r>
      <w:r>
        <w:t xml:space="preserve">Медицинские сестры, работающие в онкологии, ежедневно имеют дело с огромным спектром химических веществ, в том числе и </w:t>
      </w:r>
      <w:proofErr w:type="spellStart"/>
      <w:r>
        <w:t>цитостатиками</w:t>
      </w:r>
      <w:proofErr w:type="spellEnd"/>
      <w:r>
        <w:t xml:space="preserve">. К сожалению, многие из них рассматривают эти препараты только как факторы, обусловленные спецификой профессии, не осознавая опасности, которые представляют эти вещества, особенно отдаленные результаты их действия. И хотя на сегодняшний день системное воздействие цитостатических препаратов на медицинский персонал изучено не достаточно, учитывая фармакологические свойства, их следует считать потенциально опасными. Местное же вредное воздействие </w:t>
      </w:r>
      <w:proofErr w:type="spellStart"/>
      <w:r>
        <w:t>цитостатиков</w:t>
      </w:r>
      <w:proofErr w:type="spellEnd"/>
      <w:r>
        <w:t xml:space="preserve"> документально обосновано. Известные реакции включают воспалительные процессы слизистых оболочек, кожные пигментации и дерматиты, изъязвления роговицы при попадании отдельных препаратов на слизистую глаз и др. Все это делает приоритетным организацию защитных мероприятий по минимизации вредного воздействия цитостатических препаратов на организм медицинских работников.</w:t>
      </w:r>
    </w:p>
    <w:p w:rsidR="00D30566" w:rsidRDefault="00D30566" w:rsidP="004A6C64">
      <w:pPr>
        <w:spacing w:after="0"/>
      </w:pPr>
      <w:r>
        <w:t xml:space="preserve">Для решения этих задач в Государственном Учреждении «Республиканский научно–практический Центр детской онкологии и гематологии» в структуру аптеки входит кабинет централизованного приготовления </w:t>
      </w:r>
      <w:proofErr w:type="spellStart"/>
      <w:r>
        <w:t>цитостатиков</w:t>
      </w:r>
      <w:proofErr w:type="spellEnd"/>
      <w:r>
        <w:t>. Работу осуществляют провизор-технолог и две медицинские сестры. Персонал обеспечен комплектами защитной рабочей одежды: халатами с длинными рукавами на манжетах, специальными перчатками из ПВХ, защитными передниками, масками и головными уборами.</w:t>
      </w:r>
    </w:p>
    <w:p w:rsidR="007746A3" w:rsidRDefault="00D30566" w:rsidP="004A6C64">
      <w:pPr>
        <w:spacing w:after="0" w:line="240" w:lineRule="auto"/>
      </w:pPr>
      <w:r>
        <w:t>В оснащение кабинета входят:</w:t>
      </w:r>
      <w:r w:rsidR="007746A3">
        <w:t xml:space="preserve">  </w:t>
      </w:r>
      <w:r>
        <w:t xml:space="preserve">два </w:t>
      </w:r>
      <w:proofErr w:type="spellStart"/>
      <w:r>
        <w:t>ламинара</w:t>
      </w:r>
      <w:proofErr w:type="spellEnd"/>
      <w:r>
        <w:t xml:space="preserve"> с отсекающим потоком воздуха, системой ультрафиолетового облучения внутренней камеры и защ</w:t>
      </w:r>
      <w:bookmarkStart w:id="0" w:name="_GoBack"/>
      <w:bookmarkEnd w:id="0"/>
      <w:r>
        <w:t>итным экраном для персонала;</w:t>
      </w:r>
    </w:p>
    <w:p w:rsidR="00D30566" w:rsidRDefault="00D30566" w:rsidP="004A6C64">
      <w:pPr>
        <w:spacing w:after="0" w:line="240" w:lineRule="auto"/>
      </w:pPr>
      <w:r>
        <w:t xml:space="preserve">медицинские шкафы с растворами для приготовления </w:t>
      </w:r>
      <w:proofErr w:type="spellStart"/>
      <w:r>
        <w:t>цитостатиков</w:t>
      </w:r>
      <w:proofErr w:type="spellEnd"/>
      <w:r>
        <w:t>;</w:t>
      </w:r>
    </w:p>
    <w:p w:rsidR="00D30566" w:rsidRDefault="00D30566" w:rsidP="004A6C64">
      <w:pPr>
        <w:spacing w:after="0" w:line="240" w:lineRule="auto"/>
      </w:pPr>
      <w:r>
        <w:t xml:space="preserve">прибор для герметичного упаковывания шприцев и флаконов с готовыми растворами </w:t>
      </w:r>
      <w:proofErr w:type="spellStart"/>
      <w:r>
        <w:t>цитостатиков</w:t>
      </w:r>
      <w:proofErr w:type="spellEnd"/>
      <w:r>
        <w:t>;</w:t>
      </w:r>
    </w:p>
    <w:p w:rsidR="00D30566" w:rsidRDefault="00D30566" w:rsidP="004A6C64">
      <w:pPr>
        <w:spacing w:after="0" w:line="240" w:lineRule="auto"/>
      </w:pPr>
      <w:r>
        <w:t>прибор для герметичного упаковывания использованных флаконов, шприцев и других отходов;</w:t>
      </w:r>
    </w:p>
    <w:p w:rsidR="00D30566" w:rsidRDefault="00D30566" w:rsidP="004A6C64">
      <w:pPr>
        <w:spacing w:after="0" w:line="240" w:lineRule="auto"/>
      </w:pPr>
      <w:r>
        <w:t>емкости с дезинфицирующими растворами для обработки флаконов;</w:t>
      </w:r>
    </w:p>
    <w:p w:rsidR="007746A3" w:rsidRDefault="00D30566" w:rsidP="007746A3">
      <w:pPr>
        <w:spacing w:line="240" w:lineRule="auto"/>
      </w:pPr>
      <w:r>
        <w:t>раковина и дозирующие устройства с жидким мылом и антисептиком для гигиенической обработки рук.</w:t>
      </w:r>
    </w:p>
    <w:p w:rsidR="00D30566" w:rsidRDefault="00D30566" w:rsidP="007746A3">
      <w:pPr>
        <w:spacing w:line="240" w:lineRule="auto"/>
      </w:pPr>
      <w:r>
        <w:t xml:space="preserve">Работа в кабинете осуществляется по следующей схеме: </w:t>
      </w:r>
    </w:p>
    <w:p w:rsidR="00D30566" w:rsidRDefault="00D30566" w:rsidP="00D30566">
      <w:r>
        <w:t xml:space="preserve">Ежедневно из всех отделений Центра через старшую медицинскую сестру в аптеку поступают выписанные врачом требования на получение цитостатических препаратов, содержащие следующие сведения: фамилия больного, площадь поверхности тела пациента либо вес (в зависимости от того, как рассчитывается терапевтическая доза препарата); доза, необходимая по стандартному протоколу лечения; доза </w:t>
      </w:r>
      <w:proofErr w:type="spellStart"/>
      <w:r>
        <w:t>цитостатика</w:t>
      </w:r>
      <w:proofErr w:type="spellEnd"/>
      <w:r>
        <w:t xml:space="preserve">, назначенная данному пациенту; объем необходимого раствора и режим введения (внутривенно </w:t>
      </w:r>
      <w:proofErr w:type="spellStart"/>
      <w:r>
        <w:t>капельно</w:t>
      </w:r>
      <w:proofErr w:type="spellEnd"/>
      <w:r>
        <w:t xml:space="preserve">, </w:t>
      </w:r>
      <w:proofErr w:type="spellStart"/>
      <w:r>
        <w:t>струйно</w:t>
      </w:r>
      <w:proofErr w:type="spellEnd"/>
      <w:r>
        <w:t xml:space="preserve"> или внутримышечно).</w:t>
      </w:r>
    </w:p>
    <w:p w:rsidR="00D30566" w:rsidRDefault="00D30566" w:rsidP="00D30566">
      <w:r>
        <w:lastRenderedPageBreak/>
        <w:t>Получив требование, в первую очередь провизор еще раз контролирует терапевтическую дозу, пересчитывая ее согласно площади поверхности тела и дозе, необходимой по протоколу.</w:t>
      </w:r>
    </w:p>
    <w:p w:rsidR="00D30566" w:rsidRDefault="00D30566" w:rsidP="00D30566">
      <w:r>
        <w:t xml:space="preserve">Затем, исходя их существующих стандартных концентраций восстановленных в раствор препаратов, рассчитывается количество </w:t>
      </w:r>
      <w:proofErr w:type="spellStart"/>
      <w:r>
        <w:t>цитостатика</w:t>
      </w:r>
      <w:proofErr w:type="spellEnd"/>
      <w:r>
        <w:t xml:space="preserve"> в миллилитрах, производится таксировка требования из расчета флаконов, необходимых для приготовления требуемой дозы, проставляется цена за один флакон и общая сумма по израсходованным флаконам.</w:t>
      </w:r>
    </w:p>
    <w:p w:rsidR="00D30566" w:rsidRDefault="00D30566" w:rsidP="00D30566">
      <w:r>
        <w:t>После того, как требование заполнено, провизор выписывает этикетки, которые в дальнейшем наклеиваются на шприц или флакон.</w:t>
      </w:r>
      <w:r w:rsidR="007746A3">
        <w:t xml:space="preserve"> </w:t>
      </w:r>
      <w:r>
        <w:t xml:space="preserve">Приготовление растворов осуществляется медицинскими сестрами по требованиям, полученным от провизора-технолога, с соблюдением установленных нормативов и учетом специфики восстановления каждого отдельного препарата. На каждый флакон или шприц с готовым раствором наклеивается этикетка с указанием фамилии и инициалов больного, наименования </w:t>
      </w:r>
      <w:proofErr w:type="spellStart"/>
      <w:r>
        <w:t>цитостатика</w:t>
      </w:r>
      <w:proofErr w:type="spellEnd"/>
      <w:r>
        <w:t>, дозы и количества в миллилитрах. После этого провизор-технолог контролирует соответствие количества приготовленного раствора во флаконе или шприце количеству, указанному на этикетке, а также соответствие использованных ампул и пустых флаконов результатам таксировки по требованию.</w:t>
      </w:r>
      <w:r w:rsidR="007746A3">
        <w:t xml:space="preserve">  </w:t>
      </w:r>
      <w:r>
        <w:t xml:space="preserve">Шприцы с готовыми растворами </w:t>
      </w:r>
      <w:proofErr w:type="spellStart"/>
      <w:r>
        <w:t>цитостатиков</w:t>
      </w:r>
      <w:proofErr w:type="spellEnd"/>
      <w:r>
        <w:t xml:space="preserve"> запаиваются в специально предназначенную для этих целей полиэтиленовую пленку и, согласно требованиям, отпускаются в структурные подразделения.</w:t>
      </w:r>
      <w:r w:rsidR="007746A3">
        <w:t xml:space="preserve">  </w:t>
      </w:r>
      <w:r>
        <w:t>После контроля провизора каждая партия использованных пустых ампул и флаконов вместе со вспомогательным расходным материалом сбрасывается в аппарат для герметичного упаковывания, обеспечивающего безопасную транспортировку и дальнейшую утилизацию.</w:t>
      </w:r>
      <w:r w:rsidR="007746A3">
        <w:t xml:space="preserve"> </w:t>
      </w:r>
    </w:p>
    <w:p w:rsidR="00D30566" w:rsidRDefault="00D30566" w:rsidP="00D30566">
      <w:r>
        <w:t xml:space="preserve">Преимущества централизованного приготовления </w:t>
      </w:r>
      <w:proofErr w:type="spellStart"/>
      <w:r>
        <w:t>цитостатиков</w:t>
      </w:r>
      <w:proofErr w:type="spellEnd"/>
      <w:r>
        <w:t xml:space="preserve"> в условиях больничной аптеки очевидны. Во-первых, использование </w:t>
      </w:r>
      <w:proofErr w:type="spellStart"/>
      <w:r>
        <w:t>ламинаров</w:t>
      </w:r>
      <w:proofErr w:type="spellEnd"/>
      <w:r>
        <w:t xml:space="preserve"> повышает безопасность медицинского персонала и позволяет обеспечить асептические условия для работы. Уменьшается и риск для пациентов, поскольку в кабинете работает специально обученный персонал, осуществляющий приготовление цитостатических препаратов при тройном уровне контроля. Это практически полностью исключает возможность возникновения ошибки, как при расчете дозы, так и при приготовлении препарата.</w:t>
      </w:r>
    </w:p>
    <w:p w:rsidR="00D30566" w:rsidRDefault="00D30566" w:rsidP="00D30566">
      <w:r>
        <w:t xml:space="preserve">Во–вторых, централизованное приготовление приводит к снижению стоимости проведения </w:t>
      </w:r>
      <w:proofErr w:type="spellStart"/>
      <w:r>
        <w:t>полихимиотерапии</w:t>
      </w:r>
      <w:proofErr w:type="spellEnd"/>
      <w:r>
        <w:t xml:space="preserve"> для клиники в целом. Это также немаловажно, поскольку </w:t>
      </w:r>
      <w:proofErr w:type="spellStart"/>
      <w:r>
        <w:t>цитостатики</w:t>
      </w:r>
      <w:proofErr w:type="spellEnd"/>
      <w:r>
        <w:t xml:space="preserve"> относятся к одним из наиболее дорогостоящих препаратов. Именно поэтому организация специально оборудованного кабинета централизованного приготовления </w:t>
      </w:r>
      <w:proofErr w:type="spellStart"/>
      <w:r>
        <w:t>цитостатиков</w:t>
      </w:r>
      <w:proofErr w:type="spellEnd"/>
      <w:r>
        <w:t xml:space="preserve"> для всех отделений клиники онкологического профиля является наиболее оптимальным решением проблем защиты персонала и рационализации работы с противоопухолевыми препаратами.</w:t>
      </w:r>
    </w:p>
    <w:p w:rsidR="00D30566" w:rsidRDefault="00D30566" w:rsidP="00D30566">
      <w:r>
        <w:t xml:space="preserve">— Почему соблюдение правил безопасности при работе с </w:t>
      </w:r>
      <w:proofErr w:type="spellStart"/>
      <w:r>
        <w:t>цитостатиками</w:t>
      </w:r>
      <w:proofErr w:type="spellEnd"/>
      <w:r>
        <w:t xml:space="preserve"> столь важно?</w:t>
      </w:r>
    </w:p>
    <w:p w:rsidR="00D30566" w:rsidRDefault="00D30566" w:rsidP="00D30566">
      <w:r>
        <w:t xml:space="preserve">— При надлежащем обращении ни один препарат, используемый для химиотерапии, не представляет опасности для медицинских работников. Другое дело, если не соблюдать правила обращения с </w:t>
      </w:r>
      <w:proofErr w:type="spellStart"/>
      <w:r>
        <w:t>цитостатиками</w:t>
      </w:r>
      <w:proofErr w:type="spellEnd"/>
      <w:r>
        <w:t xml:space="preserve">, то, конечно, можно столкнуться с рядом побочных эффектов этих препаратов. Основные риски попадания </w:t>
      </w:r>
      <w:proofErr w:type="spellStart"/>
      <w:r>
        <w:t>цитостатиков</w:t>
      </w:r>
      <w:proofErr w:type="spellEnd"/>
      <w:r>
        <w:t xml:space="preserve"> в организм связаны с вдыханием аэрозолей сухих веще</w:t>
      </w:r>
      <w:proofErr w:type="gramStart"/>
      <w:r>
        <w:t>ств пр</w:t>
      </w:r>
      <w:proofErr w:type="gramEnd"/>
      <w:r>
        <w:t>и их разведении, попаданием на кожу и на слизистые оболочки пищеварительного тракта и глаз, контаминации цитотоксическими веществами при неосторожном вскрытии или повреждении флакона. При местном воздействии возможны поражение склер при попадании в глаза, контактные дерматиты, локальные некрозы кожи, аллергические дерматозы, язвы желудочно-кишечного тракта.</w:t>
      </w:r>
    </w:p>
    <w:p w:rsidR="00D30566" w:rsidRDefault="00D30566" w:rsidP="00D30566">
      <w:r>
        <w:lastRenderedPageBreak/>
        <w:t xml:space="preserve">— Что рекомендуется делать медперсоналу для предупреждения токсического воздействия </w:t>
      </w:r>
      <w:proofErr w:type="spellStart"/>
      <w:r>
        <w:t>цитостатиков</w:t>
      </w:r>
      <w:proofErr w:type="spellEnd"/>
      <w:r>
        <w:t xml:space="preserve"> на организм?</w:t>
      </w:r>
    </w:p>
    <w:p w:rsidR="00D30566" w:rsidRDefault="00D30566" w:rsidP="00D30566">
      <w:r>
        <w:t>— Только специально обученный персонал (врачебный или сестринский) должен осуществлять разведение химиотерапевтических препаратов в специально отведенном для этого помещении, снабженном ламинарным либо вытяжным шкафом. Также важно использовать специальные системы для забора и введения препарата, которые предотвращают попадание аэрозоля препарата в воздух. В целях защиты от контакта медперсонала с лекарственными препаратами необходим специальный костюм, минимальным обязательным набором которого являются: халат, шапочка, маска, перчатки, очки.</w:t>
      </w:r>
    </w:p>
    <w:p w:rsidR="006D5F1C" w:rsidRDefault="006D5F1C" w:rsidP="006D5F1C">
      <w:r>
        <w:t>отходы являются мусором особого рода,</w:t>
      </w:r>
      <w:r w:rsidR="00015EE5">
        <w:t xml:space="preserve">  </w:t>
      </w:r>
      <w:r>
        <w:t xml:space="preserve">нуждающимся в надзоре. Сборка его должна </w:t>
      </w:r>
      <w:proofErr w:type="gramStart"/>
      <w:r>
        <w:t>производится</w:t>
      </w:r>
      <w:proofErr w:type="gramEnd"/>
      <w:r w:rsidR="00015EE5">
        <w:t xml:space="preserve"> </w:t>
      </w:r>
      <w:r>
        <w:t>в специальных контейнерах, которые после наполнения</w:t>
      </w:r>
      <w:r w:rsidR="00015EE5">
        <w:t xml:space="preserve"> </w:t>
      </w:r>
      <w:r>
        <w:t>могут плотно герметично закрываться.</w:t>
      </w:r>
      <w:r w:rsidR="00015EE5">
        <w:t xml:space="preserve"> </w:t>
      </w:r>
      <w:r>
        <w:t>Необходимо также соблюдать национальные и</w:t>
      </w:r>
      <w:r w:rsidR="00015EE5">
        <w:t xml:space="preserve"> </w:t>
      </w:r>
      <w:r>
        <w:t>региональные требования, касающиеся хранения и</w:t>
      </w:r>
      <w:r w:rsidR="00015EE5">
        <w:t xml:space="preserve"> </w:t>
      </w:r>
      <w:r>
        <w:t>транспортировки подобных веществ.</w:t>
      </w:r>
    </w:p>
    <w:p w:rsidR="006D5F1C" w:rsidRDefault="006D5F1C" w:rsidP="006D5F1C">
      <w:r>
        <w:t>4.2 Ликвидация заражения при непреднамеренном</w:t>
      </w:r>
      <w:r w:rsidR="00015EE5">
        <w:t xml:space="preserve"> </w:t>
      </w:r>
      <w:r>
        <w:t xml:space="preserve">высвобождении </w:t>
      </w:r>
      <w:proofErr w:type="spellStart"/>
      <w:r>
        <w:t>цитостатики</w:t>
      </w:r>
      <w:proofErr w:type="spellEnd"/>
    </w:p>
    <w:p w:rsidR="006D5F1C" w:rsidRDefault="006D5F1C" w:rsidP="006D5F1C">
      <w:r>
        <w:t>Комплект для ликвидации заражения должен быть во всех</w:t>
      </w:r>
      <w:r w:rsidR="00015EE5">
        <w:t xml:space="preserve"> </w:t>
      </w:r>
      <w:r>
        <w:t>отделениях, где производят какие-либо работы с</w:t>
      </w:r>
      <w:r w:rsidR="00015EE5">
        <w:t xml:space="preserve"> </w:t>
      </w:r>
      <w:proofErr w:type="spellStart"/>
      <w:r>
        <w:t>цитостатикой</w:t>
      </w:r>
      <w:proofErr w:type="spellEnd"/>
      <w:r>
        <w:t xml:space="preserve">. </w:t>
      </w:r>
      <w:r w:rsidR="00015EE5">
        <w:t xml:space="preserve"> </w:t>
      </w:r>
      <w:r>
        <w:t>Аптека как центральное звено должна в</w:t>
      </w:r>
      <w:r w:rsidR="00015EE5">
        <w:t xml:space="preserve"> </w:t>
      </w:r>
      <w:r>
        <w:t>идеальном случае об этом позаботиться.</w:t>
      </w:r>
      <w:r w:rsidR="00015EE5">
        <w:t xml:space="preserve"> </w:t>
      </w:r>
      <w:r>
        <w:t>Комплект для дезактивации заражения содержит:</w:t>
      </w:r>
    </w:p>
    <w:p w:rsidR="00D30566" w:rsidRDefault="006D5F1C" w:rsidP="006D5F1C">
      <w:r>
        <w:t>• служебную инструкцию по применению</w:t>
      </w:r>
    </w:p>
    <w:p w:rsidR="006D5F1C" w:rsidRDefault="006D5F1C" w:rsidP="006D5F1C">
      <w:r>
        <w:t>• одноразовый комбинезон или халат</w:t>
      </w:r>
    </w:p>
    <w:p w:rsidR="006D5F1C" w:rsidRDefault="006D5F1C" w:rsidP="006D5F1C">
      <w:r>
        <w:t>• специальную обувь</w:t>
      </w:r>
    </w:p>
    <w:p w:rsidR="006D5F1C" w:rsidRDefault="006D5F1C" w:rsidP="006D5F1C">
      <w:r>
        <w:t>• респираторную маску (Р</w:t>
      </w:r>
      <w:proofErr w:type="gramStart"/>
      <w:r>
        <w:t>2</w:t>
      </w:r>
      <w:proofErr w:type="gramEnd"/>
      <w:r>
        <w:t xml:space="preserve"> или РЗ)</w:t>
      </w:r>
    </w:p>
    <w:p w:rsidR="006D5F1C" w:rsidRDefault="006D5F1C" w:rsidP="006D5F1C">
      <w:r>
        <w:t>• защитные перчатки</w:t>
      </w:r>
    </w:p>
    <w:p w:rsidR="006D5F1C" w:rsidRDefault="006D5F1C" w:rsidP="006D5F1C">
      <w:r>
        <w:t>• дополнительную пару защитных перчаток для</w:t>
      </w:r>
      <w:r w:rsidR="00015EE5">
        <w:t xml:space="preserve"> </w:t>
      </w:r>
      <w:r>
        <w:t>уборки стеклянных осколков</w:t>
      </w:r>
    </w:p>
    <w:p w:rsidR="006D5F1C" w:rsidRDefault="006D5F1C" w:rsidP="006D5F1C">
      <w:proofErr w:type="gramStart"/>
      <w:r>
        <w:t>• защитные очки (Защитные очки должны иметь</w:t>
      </w:r>
      <w:r w:rsidR="00015EE5">
        <w:t xml:space="preserve"> </w:t>
      </w:r>
      <w:r>
        <w:t>боковую защиту, а также должна существовать</w:t>
      </w:r>
      <w:proofErr w:type="gramEnd"/>
    </w:p>
    <w:p w:rsidR="006D5F1C" w:rsidRDefault="006D5F1C" w:rsidP="006D5F1C">
      <w:r>
        <w:t>возможность носить их поверх обычных очков).</w:t>
      </w:r>
    </w:p>
    <w:p w:rsidR="006D5F1C" w:rsidRDefault="006D5F1C" w:rsidP="006D5F1C">
      <w:r>
        <w:t>• одноразовые салфетки (из целлюлозы)</w:t>
      </w:r>
    </w:p>
    <w:p w:rsidR="006D5F1C" w:rsidRDefault="006D5F1C" w:rsidP="006D5F1C">
      <w:r>
        <w:t>• воду и спирт для увлажнения</w:t>
      </w:r>
    </w:p>
    <w:p w:rsidR="006D5F1C" w:rsidRDefault="006D5F1C" w:rsidP="006D5F1C">
      <w:r>
        <w:t>• дополнительные средства для сбора стеклянных</w:t>
      </w:r>
      <w:r w:rsidR="00015EE5">
        <w:t xml:space="preserve"> </w:t>
      </w:r>
      <w:r>
        <w:t>осколков</w:t>
      </w:r>
    </w:p>
    <w:p w:rsidR="00015EE5" w:rsidRDefault="006D5F1C" w:rsidP="006D5F1C">
      <w:r>
        <w:t>• прочную ёмкость для сбора отходов</w:t>
      </w:r>
      <w:r w:rsidR="00015EE5">
        <w:t xml:space="preserve"> </w:t>
      </w:r>
    </w:p>
    <w:p w:rsidR="006D5F1C" w:rsidRDefault="006D5F1C" w:rsidP="006D5F1C">
      <w:r>
        <w:t>• формуляр для документирования несчастных</w:t>
      </w:r>
      <w:r w:rsidR="00015EE5">
        <w:t xml:space="preserve"> </w:t>
      </w:r>
      <w:r>
        <w:t>случаев</w:t>
      </w:r>
    </w:p>
    <w:p w:rsidR="006D5F1C" w:rsidRDefault="006D5F1C" w:rsidP="006D5F1C">
      <w:r>
        <w:t xml:space="preserve">Ликвидация и уборка </w:t>
      </w:r>
      <w:proofErr w:type="gramStart"/>
      <w:r>
        <w:t>пролитых</w:t>
      </w:r>
      <w:proofErr w:type="gramEnd"/>
      <w:r>
        <w:t xml:space="preserve"> </w:t>
      </w:r>
      <w:proofErr w:type="spellStart"/>
      <w:r>
        <w:t>цитостатиков</w:t>
      </w:r>
      <w:proofErr w:type="spellEnd"/>
      <w:r>
        <w:t xml:space="preserve"> может быть</w:t>
      </w:r>
      <w:r w:rsidR="00015EE5">
        <w:t xml:space="preserve"> </w:t>
      </w:r>
      <w:r>
        <w:t>выполнена лишь обученным персоналом.</w:t>
      </w:r>
      <w:r w:rsidR="00015EE5">
        <w:t xml:space="preserve"> </w:t>
      </w:r>
      <w:r>
        <w:t>Мероприятия по дезактивации являются частью</w:t>
      </w:r>
      <w:r w:rsidR="00015EE5">
        <w:t xml:space="preserve"> </w:t>
      </w:r>
      <w:r>
        <w:t>ежегодного инструктажа.</w:t>
      </w:r>
    </w:p>
    <w:p w:rsidR="006D5F1C" w:rsidRDefault="006D5F1C" w:rsidP="006D5F1C">
      <w:r>
        <w:t xml:space="preserve">4.3. </w:t>
      </w:r>
      <w:proofErr w:type="spellStart"/>
      <w:r>
        <w:t>Паравазаты</w:t>
      </w:r>
      <w:proofErr w:type="spellEnd"/>
    </w:p>
    <w:p w:rsidR="006D5F1C" w:rsidRDefault="006D5F1C" w:rsidP="006D5F1C">
      <w:r>
        <w:lastRenderedPageBreak/>
        <w:t xml:space="preserve">Непреднамеренный выход </w:t>
      </w:r>
      <w:proofErr w:type="spellStart"/>
      <w:r>
        <w:t>цитостатики</w:t>
      </w:r>
      <w:proofErr w:type="spellEnd"/>
      <w:r>
        <w:t>, который обладает</w:t>
      </w:r>
      <w:r w:rsidR="00015EE5">
        <w:t xml:space="preserve"> </w:t>
      </w:r>
      <w:r>
        <w:t>некротической способностью, в рядом лежащие ткани</w:t>
      </w:r>
      <w:r w:rsidR="00015EE5">
        <w:t xml:space="preserve"> </w:t>
      </w:r>
      <w:r>
        <w:t>является серьёзным осложнением в лечении</w:t>
      </w:r>
      <w:r w:rsidR="00015EE5">
        <w:t xml:space="preserve"> </w:t>
      </w:r>
      <w:r>
        <w:t>химиотерапевтическими средствами, требующим</w:t>
      </w:r>
      <w:r w:rsidR="00015EE5">
        <w:t xml:space="preserve"> </w:t>
      </w:r>
      <w:r>
        <w:t>немедленного вмешательства.</w:t>
      </w:r>
    </w:p>
    <w:p w:rsidR="006D5F1C" w:rsidRDefault="006D5F1C" w:rsidP="006D5F1C">
      <w:r>
        <w:t>Во всех онкологических отделениях и терапевтических</w:t>
      </w:r>
      <w:r w:rsidR="00015EE5">
        <w:t xml:space="preserve"> </w:t>
      </w:r>
      <w:r>
        <w:t>учреждениях должны иметься инструкции по</w:t>
      </w:r>
      <w:r w:rsidR="00015EE5">
        <w:t xml:space="preserve"> </w:t>
      </w:r>
      <w:r>
        <w:t xml:space="preserve">предотвращению </w:t>
      </w:r>
      <w:proofErr w:type="spellStart"/>
      <w:r>
        <w:t>паравазатов</w:t>
      </w:r>
      <w:proofErr w:type="spellEnd"/>
      <w:r>
        <w:t>, перечень мероприятий по</w:t>
      </w:r>
      <w:r w:rsidR="00015EE5">
        <w:t xml:space="preserve"> </w:t>
      </w:r>
      <w:r>
        <w:t>их лечению и документационные листы для заполнения</w:t>
      </w:r>
      <w:r w:rsidR="00015EE5">
        <w:t xml:space="preserve"> </w:t>
      </w:r>
      <w:r>
        <w:t>проведенного лечения.</w:t>
      </w:r>
      <w:r w:rsidR="00015EE5">
        <w:t xml:space="preserve"> </w:t>
      </w:r>
      <w:r>
        <w:t>Комплект для немедленного использования при</w:t>
      </w:r>
      <w:r w:rsidR="00015EE5">
        <w:t xml:space="preserve"> </w:t>
      </w:r>
      <w:proofErr w:type="spellStart"/>
      <w:r>
        <w:t>паравазатах</w:t>
      </w:r>
      <w:proofErr w:type="spellEnd"/>
      <w:r>
        <w:t xml:space="preserve"> должен содержать все необходимые</w:t>
      </w:r>
      <w:r w:rsidR="00015EE5">
        <w:t xml:space="preserve"> </w:t>
      </w:r>
      <w:r>
        <w:t>материалы и медикаменты, приспособленные к</w:t>
      </w:r>
      <w:r w:rsidR="00015EE5">
        <w:t xml:space="preserve"> </w:t>
      </w:r>
      <w:r>
        <w:t>терапевтической схеме лечения, и находиться на</w:t>
      </w:r>
      <w:r w:rsidR="00015EE5">
        <w:t xml:space="preserve"> </w:t>
      </w:r>
      <w:r>
        <w:t>доступном месте в отделении.</w:t>
      </w:r>
    </w:p>
    <w:p w:rsidR="006D5F1C" w:rsidRDefault="006D5F1C" w:rsidP="006D5F1C">
      <w:r>
        <w:t xml:space="preserve">4.4. </w:t>
      </w:r>
      <w:proofErr w:type="spellStart"/>
      <w:r>
        <w:t>Хроноонкология</w:t>
      </w:r>
      <w:proofErr w:type="spellEnd"/>
    </w:p>
    <w:p w:rsidR="00015EE5" w:rsidRDefault="006D5F1C" w:rsidP="006D5F1C">
      <w:proofErr w:type="spellStart"/>
      <w:r>
        <w:t>Хроноонкология</w:t>
      </w:r>
      <w:proofErr w:type="spellEnd"/>
      <w:r>
        <w:t xml:space="preserve"> является методом лечения, при котором</w:t>
      </w:r>
      <w:r w:rsidR="00015EE5">
        <w:t xml:space="preserve"> </w:t>
      </w:r>
      <w:r>
        <w:t>заранее известные биологические ритмы человека</w:t>
      </w:r>
      <w:r w:rsidR="00015EE5">
        <w:t xml:space="preserve"> </w:t>
      </w:r>
      <w:r>
        <w:t>приводят в соотношение со временем введения</w:t>
      </w:r>
      <w:r w:rsidR="00015EE5">
        <w:t xml:space="preserve"> </w:t>
      </w:r>
      <w:r>
        <w:t>лекарственного средства с терапевтической целью</w:t>
      </w:r>
      <w:r w:rsidR="00015EE5">
        <w:t xml:space="preserve"> </w:t>
      </w:r>
      <w:r>
        <w:t>улучшения биологической эффективности при</w:t>
      </w:r>
      <w:r w:rsidR="00015EE5">
        <w:t xml:space="preserve"> </w:t>
      </w:r>
      <w:r>
        <w:t>одновременном снижении побочных действий. Познания в</w:t>
      </w:r>
      <w:r w:rsidR="00015EE5">
        <w:t xml:space="preserve"> </w:t>
      </w:r>
      <w:r>
        <w:t xml:space="preserve">области </w:t>
      </w:r>
      <w:proofErr w:type="spellStart"/>
      <w:r>
        <w:t>хроноонкологии</w:t>
      </w:r>
      <w:proofErr w:type="spellEnd"/>
      <w:r>
        <w:t>, насколько имеются клинические</w:t>
      </w:r>
      <w:r w:rsidR="00015EE5">
        <w:t xml:space="preserve"> </w:t>
      </w:r>
      <w:r>
        <w:t>данные, должны быть использованы на благо пациента в</w:t>
      </w:r>
      <w:r w:rsidR="00015EE5">
        <w:t xml:space="preserve"> </w:t>
      </w:r>
      <w:r>
        <w:t>смысле оптимального соотношения дозы, эффективности</w:t>
      </w:r>
      <w:r w:rsidR="00015EE5">
        <w:t xml:space="preserve"> </w:t>
      </w:r>
      <w:r>
        <w:t>и побочных действий.</w:t>
      </w:r>
      <w:r w:rsidR="00015EE5">
        <w:t xml:space="preserve"> </w:t>
      </w:r>
    </w:p>
    <w:p w:rsidR="00015EE5" w:rsidRDefault="006D5F1C" w:rsidP="006D5F1C">
      <w:r>
        <w:t>4.5. Обращение с цитостатическими средствами в</w:t>
      </w:r>
      <w:r w:rsidR="00015EE5">
        <w:t xml:space="preserve"> </w:t>
      </w:r>
      <w:r>
        <w:t>отделениях больницы</w:t>
      </w:r>
      <w:proofErr w:type="gramStart"/>
      <w:r w:rsidR="00015EE5">
        <w:t xml:space="preserve"> </w:t>
      </w:r>
      <w:r>
        <w:t>В</w:t>
      </w:r>
      <w:proofErr w:type="gramEnd"/>
      <w:r>
        <w:t xml:space="preserve"> отделениях занимаются в основном лекарствами,</w:t>
      </w:r>
      <w:r w:rsidR="00015EE5">
        <w:t xml:space="preserve"> </w:t>
      </w:r>
      <w:r>
        <w:t xml:space="preserve">содержащими </w:t>
      </w:r>
      <w:proofErr w:type="spellStart"/>
      <w:r>
        <w:t>цитостатики</w:t>
      </w:r>
      <w:proofErr w:type="spellEnd"/>
      <w:r>
        <w:t>, средний медперсонал и врачи.</w:t>
      </w:r>
      <w:r w:rsidR="00015EE5">
        <w:t xml:space="preserve"> </w:t>
      </w:r>
      <w:r>
        <w:t>Сюда относятся такие виды деятельности как приемка</w:t>
      </w:r>
      <w:r w:rsidR="00015EE5">
        <w:t xml:space="preserve"> </w:t>
      </w:r>
      <w:r>
        <w:t xml:space="preserve">товара, хранение его, подготовка к введению и </w:t>
      </w:r>
      <w:proofErr w:type="spellStart"/>
      <w:r>
        <w:t>самовведение</w:t>
      </w:r>
      <w:proofErr w:type="spellEnd"/>
      <w:r>
        <w:t>, умение обращаться с испражнениями пациента,</w:t>
      </w:r>
      <w:r w:rsidR="00015EE5">
        <w:t xml:space="preserve"> </w:t>
      </w:r>
      <w:r>
        <w:t xml:space="preserve">что может </w:t>
      </w:r>
      <w:proofErr w:type="gramStart"/>
      <w:r>
        <w:t>коснутся</w:t>
      </w:r>
      <w:proofErr w:type="gramEnd"/>
      <w:r>
        <w:t xml:space="preserve"> и родственников больного, и</w:t>
      </w:r>
      <w:r w:rsidR="00015EE5">
        <w:t xml:space="preserve"> </w:t>
      </w:r>
      <w:r>
        <w:t xml:space="preserve">случайным проливом </w:t>
      </w:r>
      <w:proofErr w:type="spellStart"/>
      <w:r>
        <w:t>цитостатики</w:t>
      </w:r>
      <w:proofErr w:type="spellEnd"/>
      <w:r>
        <w:t>.</w:t>
      </w:r>
      <w:r w:rsidR="00015EE5">
        <w:t xml:space="preserve"> </w:t>
      </w:r>
      <w:r>
        <w:t>Аптекарь-специалист в онкологической фармации</w:t>
      </w:r>
      <w:r w:rsidR="00015EE5">
        <w:t xml:space="preserve"> </w:t>
      </w:r>
      <w:r>
        <w:t>поддерживает отделения и функциональные учреждения</w:t>
      </w:r>
      <w:r w:rsidR="00015EE5">
        <w:t xml:space="preserve"> </w:t>
      </w:r>
      <w:r>
        <w:t>больницы при составлении рабочих инструкций по</w:t>
      </w:r>
      <w:r w:rsidR="00015EE5">
        <w:t xml:space="preserve"> </w:t>
      </w:r>
      <w:r>
        <w:t>умению обращаться в различных ситуациях, облегчая тем</w:t>
      </w:r>
      <w:r w:rsidR="00015EE5">
        <w:t xml:space="preserve"> </w:t>
      </w:r>
      <w:r>
        <w:t>самым применение безопасной техники работы и</w:t>
      </w:r>
      <w:r w:rsidR="00015EE5">
        <w:t xml:space="preserve"> </w:t>
      </w:r>
      <w:r>
        <w:t>корректное пользование защитными средствами.</w:t>
      </w:r>
      <w:r w:rsidR="00015EE5">
        <w:t xml:space="preserve"> </w:t>
      </w:r>
    </w:p>
    <w:p w:rsidR="006D5F1C" w:rsidRDefault="006D5F1C" w:rsidP="006D5F1C">
      <w:r>
        <w:t>4.6. Обращение с цитостатическими средствами во</w:t>
      </w:r>
      <w:r w:rsidR="00015EE5">
        <w:t xml:space="preserve"> </w:t>
      </w:r>
      <w:proofErr w:type="gramStart"/>
      <w:r>
        <w:t>врачебных</w:t>
      </w:r>
      <w:proofErr w:type="gramEnd"/>
      <w:r>
        <w:t xml:space="preserve"> </w:t>
      </w:r>
      <w:proofErr w:type="spellStart"/>
      <w:r>
        <w:t>праксисах</w:t>
      </w:r>
      <w:proofErr w:type="spellEnd"/>
    </w:p>
    <w:p w:rsidR="006D5F1C" w:rsidRDefault="006D5F1C" w:rsidP="006D5F1C">
      <w:r>
        <w:t>Приемка приготовленных в аптеке лекарственных</w:t>
      </w:r>
      <w:r w:rsidR="00015EE5">
        <w:t xml:space="preserve"> </w:t>
      </w:r>
      <w:r>
        <w:t>форм происходит через обученного специалиста</w:t>
      </w:r>
      <w:r w:rsidR="00015EE5">
        <w:t xml:space="preserve"> </w:t>
      </w:r>
      <w:r>
        <w:t xml:space="preserve">врачебного </w:t>
      </w:r>
      <w:proofErr w:type="spellStart"/>
      <w:r>
        <w:t>праксиса</w:t>
      </w:r>
      <w:proofErr w:type="spellEnd"/>
      <w:r>
        <w:t>.</w:t>
      </w:r>
      <w:r w:rsidR="00015EE5">
        <w:t xml:space="preserve">  </w:t>
      </w:r>
      <w:r>
        <w:t>Доставка должна быть проверена на комплектность,</w:t>
      </w:r>
      <w:r w:rsidR="00015EE5">
        <w:t xml:space="preserve"> </w:t>
      </w:r>
      <w:r>
        <w:t>целостность, правдоподобность (</w:t>
      </w:r>
      <w:proofErr w:type="spellStart"/>
      <w:r>
        <w:t>плаузибилитетность</w:t>
      </w:r>
      <w:proofErr w:type="spellEnd"/>
      <w:r>
        <w:t>)</w:t>
      </w:r>
      <w:r w:rsidR="00015EE5">
        <w:t xml:space="preserve"> </w:t>
      </w:r>
      <w:r>
        <w:t>стабильность и годность.</w:t>
      </w:r>
    </w:p>
    <w:p w:rsidR="006D5F1C" w:rsidRDefault="006D5F1C" w:rsidP="006D5F1C">
      <w:r>
        <w:t>Доставляемая парентерально вводимая лекарственная</w:t>
      </w:r>
      <w:r w:rsidR="00015EE5">
        <w:t xml:space="preserve"> </w:t>
      </w:r>
      <w:r>
        <w:t>форма должна поставляться как единая, уже</w:t>
      </w:r>
      <w:r w:rsidR="00015EE5">
        <w:t xml:space="preserve"> </w:t>
      </w:r>
      <w:r>
        <w:t xml:space="preserve">заполненная носителем раствора, целая </w:t>
      </w:r>
      <w:proofErr w:type="spellStart"/>
      <w:r>
        <w:t>инфузионная</w:t>
      </w:r>
      <w:proofErr w:type="spellEnd"/>
      <w:r w:rsidR="00015EE5">
        <w:t xml:space="preserve"> </w:t>
      </w:r>
      <w:r>
        <w:t>система</w:t>
      </w:r>
    </w:p>
    <w:p w:rsidR="006D5F1C" w:rsidRDefault="006D5F1C" w:rsidP="006D5F1C">
      <w:r>
        <w:t>Следует избежать так называемое переключение на</w:t>
      </w:r>
      <w:r w:rsidR="00015EE5">
        <w:t xml:space="preserve"> </w:t>
      </w:r>
      <w:r>
        <w:t xml:space="preserve">другую </w:t>
      </w:r>
      <w:proofErr w:type="spellStart"/>
      <w:r>
        <w:t>инфузионную</w:t>
      </w:r>
      <w:proofErr w:type="spellEnd"/>
      <w:r>
        <w:t xml:space="preserve"> систему.</w:t>
      </w:r>
      <w:r w:rsidR="00015EE5">
        <w:t xml:space="preserve"> </w:t>
      </w:r>
      <w:r>
        <w:t>Ввод лекарственной формы осуществляется через</w:t>
      </w:r>
      <w:r w:rsidR="00015EE5">
        <w:t xml:space="preserve"> </w:t>
      </w:r>
      <w:r>
        <w:t>лечащего врача совместно со средним медперсоналом.</w:t>
      </w:r>
      <w:r w:rsidR="00015EE5">
        <w:t xml:space="preserve"> </w:t>
      </w:r>
      <w:r>
        <w:t>Пациент во время проводимого лечения находится под</w:t>
      </w:r>
      <w:r w:rsidR="00015EE5">
        <w:t xml:space="preserve"> </w:t>
      </w:r>
      <w:r>
        <w:t>наблюдением.</w:t>
      </w:r>
      <w:r w:rsidR="00015EE5">
        <w:t xml:space="preserve"> </w:t>
      </w:r>
      <w:r>
        <w:t>Защита персонала должно соответствовать</w:t>
      </w:r>
      <w:r w:rsidR="00015EE5">
        <w:t xml:space="preserve"> </w:t>
      </w:r>
      <w:r>
        <w:t>действующим инструкциям и приказам и как минимум</w:t>
      </w:r>
      <w:r w:rsidR="00015EE5">
        <w:t xml:space="preserve"> </w:t>
      </w:r>
      <w:r>
        <w:t>состоять из халата, защитных перчаток и хорошо</w:t>
      </w:r>
      <w:r w:rsidR="003602EB">
        <w:t xml:space="preserve"> </w:t>
      </w:r>
      <w:r>
        <w:t>впитывающей подстилки.</w:t>
      </w:r>
      <w:r w:rsidR="003602EB">
        <w:t xml:space="preserve"> </w:t>
      </w:r>
      <w:r>
        <w:t>По окончании процесса введения все загрязненные</w:t>
      </w:r>
      <w:r w:rsidR="003602EB">
        <w:t xml:space="preserve"> </w:t>
      </w:r>
      <w:r>
        <w:t>материалы должна быть плотно запечатаны и убраны в</w:t>
      </w:r>
      <w:r w:rsidR="003602EB">
        <w:t xml:space="preserve"> </w:t>
      </w:r>
      <w:r>
        <w:t>соответствии с их категорией сортировки («особый</w:t>
      </w:r>
      <w:r w:rsidR="003602EB">
        <w:t xml:space="preserve"> </w:t>
      </w:r>
      <w:r>
        <w:t>мусор»).</w:t>
      </w:r>
    </w:p>
    <w:p w:rsidR="003602EB" w:rsidRDefault="006D5F1C" w:rsidP="006D5F1C">
      <w:r>
        <w:t>4.7. Обращение с цитостатическими средствами в</w:t>
      </w:r>
      <w:r w:rsidR="003602EB">
        <w:t xml:space="preserve"> </w:t>
      </w:r>
      <w:r>
        <w:t>домашней сфере</w:t>
      </w:r>
      <w:r w:rsidR="003602EB">
        <w:t xml:space="preserve"> </w:t>
      </w:r>
      <w:r>
        <w:t xml:space="preserve">Определённые режимы терапии </w:t>
      </w:r>
      <w:proofErr w:type="spellStart"/>
      <w:r>
        <w:t>цитостатиками</w:t>
      </w:r>
      <w:proofErr w:type="spellEnd"/>
      <w:r w:rsidR="003602EB">
        <w:t xml:space="preserve"> </w:t>
      </w:r>
      <w:r>
        <w:t>требуют непрерывного введения действующего</w:t>
      </w:r>
      <w:r w:rsidR="003602EB">
        <w:t xml:space="preserve"> </w:t>
      </w:r>
      <w:r>
        <w:t>вещества в течени</w:t>
      </w:r>
      <w:proofErr w:type="gramStart"/>
      <w:r>
        <w:t>и</w:t>
      </w:r>
      <w:proofErr w:type="gramEnd"/>
      <w:r>
        <w:t xml:space="preserve"> 24 часов и до нескольких дней. Эта</w:t>
      </w:r>
      <w:r w:rsidR="003602EB">
        <w:t xml:space="preserve"> </w:t>
      </w:r>
      <w:r>
        <w:t>форма терапии проводится как в больничных</w:t>
      </w:r>
      <w:r w:rsidR="003602EB">
        <w:t xml:space="preserve"> </w:t>
      </w:r>
      <w:r>
        <w:t>(стационарных) так и в амбулаторных условиях.</w:t>
      </w:r>
      <w:r w:rsidR="003602EB">
        <w:t xml:space="preserve"> </w:t>
      </w:r>
      <w:r>
        <w:t xml:space="preserve">Пациенты, родственники и сотрудники </w:t>
      </w:r>
      <w:proofErr w:type="spellStart"/>
      <w:r>
        <w:t>амбулянтного</w:t>
      </w:r>
      <w:proofErr w:type="spellEnd"/>
      <w:r w:rsidR="003602EB">
        <w:t xml:space="preserve"> </w:t>
      </w:r>
      <w:r>
        <w:lastRenderedPageBreak/>
        <w:t>медобслуживания должны быть обучены обращению с</w:t>
      </w:r>
      <w:r w:rsidR="003602EB">
        <w:t xml:space="preserve"> </w:t>
      </w:r>
      <w:r>
        <w:t>цитостатическими средствами в домашних условиях.</w:t>
      </w:r>
      <w:r w:rsidR="003602EB">
        <w:t xml:space="preserve"> </w:t>
      </w:r>
      <w:r>
        <w:t>Обучение должно особо учитывать следующие</w:t>
      </w:r>
      <w:r w:rsidR="003602EB">
        <w:t xml:space="preserve"> </w:t>
      </w:r>
      <w:r>
        <w:t>пункты:</w:t>
      </w:r>
    </w:p>
    <w:p w:rsidR="006D5F1C" w:rsidRDefault="003602EB" w:rsidP="006D5F1C">
      <w:r>
        <w:t xml:space="preserve"> </w:t>
      </w:r>
      <w:r w:rsidR="006D5F1C">
        <w:t>• особенности в обращении с цитостатическими</w:t>
      </w:r>
      <w:r>
        <w:t xml:space="preserve"> </w:t>
      </w:r>
      <w:r w:rsidR="006D5F1C">
        <w:t>средствами</w:t>
      </w:r>
    </w:p>
    <w:p w:rsidR="006D5F1C" w:rsidRDefault="006D5F1C" w:rsidP="006D5F1C">
      <w:r>
        <w:t>• умение обращаться с инструментами для ввода</w:t>
      </w:r>
      <w:r w:rsidR="003602EB">
        <w:t xml:space="preserve"> </w:t>
      </w:r>
      <w:r>
        <w:t>растворов</w:t>
      </w:r>
    </w:p>
    <w:p w:rsidR="006D5F1C" w:rsidRDefault="006D5F1C" w:rsidP="006D5F1C">
      <w:r>
        <w:t>• правильные действия при случайном проливе</w:t>
      </w:r>
      <w:r w:rsidR="003602EB">
        <w:t xml:space="preserve"> </w:t>
      </w:r>
      <w:r>
        <w:t>раствора</w:t>
      </w:r>
    </w:p>
    <w:p w:rsidR="006D5F1C" w:rsidRDefault="006D5F1C" w:rsidP="006D5F1C">
      <w:r>
        <w:t xml:space="preserve">• умелые действия при </w:t>
      </w:r>
      <w:proofErr w:type="spellStart"/>
      <w:r>
        <w:t>паравазатах</w:t>
      </w:r>
      <w:proofErr w:type="spellEnd"/>
      <w:r w:rsidR="003602EB">
        <w:t xml:space="preserve"> </w:t>
      </w:r>
    </w:p>
    <w:p w:rsidR="006D5F1C" w:rsidRDefault="006D5F1C" w:rsidP="006D5F1C">
      <w:r>
        <w:t>• умение обращаться с испражнениями пациента</w:t>
      </w:r>
    </w:p>
    <w:p w:rsidR="006D5F1C" w:rsidRDefault="006D5F1C" w:rsidP="006D5F1C">
      <w:r>
        <w:t>• устранение мусора</w:t>
      </w:r>
    </w:p>
    <w:p w:rsidR="006D5F1C" w:rsidRDefault="006D5F1C" w:rsidP="006D5F1C">
      <w:r>
        <w:t>Индивидуальный план обслуживания должен быть</w:t>
      </w:r>
      <w:r w:rsidR="003602EB">
        <w:t xml:space="preserve"> </w:t>
      </w:r>
      <w:r>
        <w:t>составлен в совместной работе с аптекарем</w:t>
      </w:r>
      <w:r w:rsidR="003602EB">
        <w:t xml:space="preserve"> </w:t>
      </w:r>
      <w:r w:rsidRPr="006D5F1C">
        <w:t xml:space="preserve">Сбор, временное хранение отходов </w:t>
      </w:r>
      <w:proofErr w:type="spellStart"/>
      <w:r w:rsidRPr="006D5F1C">
        <w:t>цитостатиков</w:t>
      </w:r>
      <w:proofErr w:type="spellEnd"/>
      <w:r w:rsidRPr="006D5F1C">
        <w:t xml:space="preserve"> и </w:t>
      </w:r>
      <w:proofErr w:type="spellStart"/>
      <w:r w:rsidRPr="006D5F1C">
        <w:t>генотоксических</w:t>
      </w:r>
      <w:proofErr w:type="spellEnd"/>
      <w:r w:rsidRPr="006D5F1C">
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</w:p>
    <w:sectPr w:rsidR="006D5F1C" w:rsidSect="00BA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79C4"/>
    <w:rsid w:val="00015EE5"/>
    <w:rsid w:val="00241847"/>
    <w:rsid w:val="002C79C4"/>
    <w:rsid w:val="003602EB"/>
    <w:rsid w:val="003A70F5"/>
    <w:rsid w:val="004A6C64"/>
    <w:rsid w:val="006D5F1C"/>
    <w:rsid w:val="00724BD9"/>
    <w:rsid w:val="007746A3"/>
    <w:rsid w:val="007C5571"/>
    <w:rsid w:val="00B01305"/>
    <w:rsid w:val="00BA4925"/>
    <w:rsid w:val="00C833D7"/>
    <w:rsid w:val="00D04F9C"/>
    <w:rsid w:val="00D30566"/>
    <w:rsid w:val="00F7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Степан</cp:lastModifiedBy>
  <cp:revision>2</cp:revision>
  <dcterms:created xsi:type="dcterms:W3CDTF">2013-04-13T16:55:00Z</dcterms:created>
  <dcterms:modified xsi:type="dcterms:W3CDTF">2013-04-13T16:55:00Z</dcterms:modified>
</cp:coreProperties>
</file>